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0B4235C5" w:rsidR="00BA615F" w:rsidRPr="000E6ED7" w:rsidRDefault="00C34100" w:rsidP="0031610F">
      <w:pPr>
        <w:pStyle w:val="3GPPHeader"/>
        <w:spacing w:after="60"/>
        <w:jc w:val="left"/>
        <w:rPr>
          <w:rFonts w:cs="Arial" w:hint="eastAsia"/>
          <w:bCs/>
          <w:iCs/>
          <w:sz w:val="26"/>
          <w:szCs w:val="26"/>
          <w:lang w:val="en-US"/>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207F49">
        <w:rPr>
          <w:rFonts w:cs="Arial"/>
        </w:rPr>
        <w:t>1</w:t>
      </w:r>
      <w:r w:rsidR="00AA1760">
        <w:rPr>
          <w:rFonts w:cs="Arial"/>
        </w:rPr>
        <w:t>-</w:t>
      </w:r>
      <w:r w:rsidR="00AA1760">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E91B29">
        <w:rPr>
          <w:rFonts w:cs="Arial"/>
          <w:bCs/>
          <w:iCs/>
          <w:sz w:val="26"/>
          <w:szCs w:val="26"/>
        </w:rPr>
        <w:t>50</w:t>
      </w:r>
      <w:r w:rsidR="000E6ED7">
        <w:rPr>
          <w:rFonts w:cs="Arial" w:hint="eastAsia"/>
          <w:bCs/>
          <w:iCs/>
          <w:sz w:val="26"/>
          <w:szCs w:val="26"/>
        </w:rPr>
        <w:t>7550</w:t>
      </w:r>
    </w:p>
    <w:bookmarkEnd w:id="0"/>
    <w:p w14:paraId="7549600B" w14:textId="3B51967B" w:rsidR="0054114D" w:rsidRPr="00EF11D9" w:rsidRDefault="00EF11D9" w:rsidP="00EF11D9">
      <w:pPr>
        <w:pStyle w:val="CRCoverPage"/>
        <w:rPr>
          <w:b/>
          <w:bCs/>
          <w:noProof/>
          <w:sz w:val="24"/>
          <w:lang w:eastAsia="zh-CN"/>
        </w:rPr>
      </w:pPr>
      <w:r>
        <w:rPr>
          <w:b/>
          <w:bCs/>
          <w:noProof/>
          <w:sz w:val="24"/>
          <w:lang w:eastAsia="zh-CN"/>
        </w:rPr>
        <w:t>Prague, Czech Republic, 13</w:t>
      </w:r>
      <w:r>
        <w:rPr>
          <w:b/>
          <w:bCs/>
          <w:noProof/>
          <w:sz w:val="24"/>
          <w:vertAlign w:val="superscript"/>
          <w:lang w:eastAsia="zh-CN"/>
        </w:rPr>
        <w:t>th</w:t>
      </w:r>
      <w:r>
        <w:rPr>
          <w:b/>
          <w:bCs/>
          <w:noProof/>
          <w:sz w:val="24"/>
          <w:lang w:eastAsia="zh-CN"/>
        </w:rPr>
        <w:t xml:space="preserve"> – 17</w:t>
      </w:r>
      <w:r>
        <w:rPr>
          <w:b/>
          <w:bCs/>
          <w:noProof/>
          <w:sz w:val="24"/>
          <w:vertAlign w:val="superscript"/>
          <w:lang w:eastAsia="zh-CN"/>
        </w:rPr>
        <w:t xml:space="preserve">th </w:t>
      </w:r>
      <w:r>
        <w:rPr>
          <w:b/>
          <w:bCs/>
          <w:noProof/>
          <w:sz w:val="24"/>
          <w:lang w:eastAsia="zh-CN"/>
        </w:rPr>
        <w:t>Oct.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780595EA"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D3163F">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A2A471A"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BA40E7" w:rsidRPr="00BA40E7">
        <w:rPr>
          <w:rFonts w:cs="Arial"/>
          <w:sz w:val="22"/>
          <w:szCs w:val="22"/>
        </w:rPr>
        <w:t xml:space="preserve">Remaining </w:t>
      </w:r>
      <w:r w:rsidR="00A50A48">
        <w:rPr>
          <w:rFonts w:cs="Arial"/>
          <w:sz w:val="22"/>
          <w:szCs w:val="22"/>
        </w:rPr>
        <w:t xml:space="preserve">CP </w:t>
      </w:r>
      <w:r w:rsidR="00BA40E7" w:rsidRPr="00BA40E7">
        <w:rPr>
          <w:rFonts w:cs="Arial"/>
          <w:sz w:val="22"/>
          <w:szCs w:val="22"/>
        </w:rPr>
        <w:t xml:space="preserve">issues in </w:t>
      </w:r>
      <w:r w:rsidR="00AA1760">
        <w:rPr>
          <w:rFonts w:cs="Arial" w:hint="eastAsia"/>
          <w:sz w:val="22"/>
          <w:szCs w:val="22"/>
        </w:rPr>
        <w:t>R</w:t>
      </w:r>
      <w:r w:rsidR="00AA1760">
        <w:rPr>
          <w:rFonts w:cs="Arial"/>
          <w:sz w:val="22"/>
          <w:szCs w:val="22"/>
        </w:rPr>
        <w:t xml:space="preserve">19 </w:t>
      </w:r>
      <w:r w:rsidR="00AA1760">
        <w:rPr>
          <w:rFonts w:cs="Arial" w:hint="eastAsia"/>
          <w:sz w:val="22"/>
          <w:szCs w:val="22"/>
        </w:rPr>
        <w:t>mobility</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80CB890" w14:textId="651B7259" w:rsidR="00E94754" w:rsidRPr="00625207" w:rsidRDefault="00AD3F24" w:rsidP="00E94754">
      <w:pPr>
        <w:snapToGrid w:val="0"/>
        <w:spacing w:before="120"/>
      </w:pPr>
      <w:r>
        <w:t xml:space="preserve">In this contribution, the remaining </w:t>
      </w:r>
      <w:r w:rsidR="001835E6">
        <w:rPr>
          <w:rFonts w:hint="eastAsia"/>
        </w:rPr>
        <w:t>issues</w:t>
      </w:r>
      <w:r w:rsidR="001835E6">
        <w:t xml:space="preserve"> </w:t>
      </w:r>
      <w:r>
        <w:t>for</w:t>
      </w:r>
      <w:r w:rsidR="00AA1760">
        <w:t xml:space="preserve"> </w:t>
      </w:r>
      <w:r w:rsidR="00AA1760">
        <w:rPr>
          <w:rFonts w:hint="eastAsia"/>
        </w:rPr>
        <w:t>CP</w:t>
      </w:r>
      <w:r w:rsidR="00AA1760">
        <w:t xml:space="preserve"> </w:t>
      </w:r>
      <w:r w:rsidR="00AA1760">
        <w:rPr>
          <w:rFonts w:hint="eastAsia"/>
        </w:rPr>
        <w:t>in</w:t>
      </w:r>
      <w:r w:rsidR="00AA1760">
        <w:t xml:space="preserve"> </w:t>
      </w:r>
      <w:r w:rsidR="00AA1760">
        <w:rPr>
          <w:rFonts w:hint="eastAsia"/>
        </w:rPr>
        <w:t>R</w:t>
      </w:r>
      <w:r w:rsidR="00AA1760">
        <w:t xml:space="preserve">19 </w:t>
      </w:r>
      <w:r w:rsidR="00AA1760">
        <w:rPr>
          <w:rFonts w:hint="eastAsia"/>
        </w:rPr>
        <w:t>mobility</w:t>
      </w:r>
      <w:r>
        <w:t xml:space="preserve"> are disc</w:t>
      </w:r>
      <w:r w:rsidRPr="00625207">
        <w:t>ussed</w:t>
      </w:r>
      <w:r w:rsidR="00C50ECB">
        <w:t>.</w:t>
      </w:r>
    </w:p>
    <w:p w14:paraId="5E65E5B9" w14:textId="073B7FCB" w:rsidR="00BB67DC" w:rsidRDefault="00BB67DC" w:rsidP="007D4A19">
      <w:pPr>
        <w:pStyle w:val="1"/>
        <w:ind w:hanging="792"/>
      </w:pPr>
      <w:r>
        <w:t>Discussion</w:t>
      </w:r>
    </w:p>
    <w:p w14:paraId="579781CF" w14:textId="304880A0" w:rsidR="00C75F3C" w:rsidRDefault="00C75F3C" w:rsidP="001835E6">
      <w:pPr>
        <w:pStyle w:val="2"/>
      </w:pPr>
      <w:r>
        <w:rPr>
          <w:rFonts w:hint="eastAsia"/>
        </w:rPr>
        <w:t>CLTM</w:t>
      </w:r>
      <w:r>
        <w:t xml:space="preserve"> co-exist with </w:t>
      </w:r>
      <w:proofErr w:type="gramStart"/>
      <w:r>
        <w:t>CHO</w:t>
      </w:r>
      <w:proofErr w:type="gramEnd"/>
    </w:p>
    <w:p w14:paraId="0F171CBB" w14:textId="68744ADB" w:rsidR="00C75F3C" w:rsidRDefault="00C75F3C" w:rsidP="00C75F3C">
      <w:r>
        <w:t>In the last meeting, the co-existence between CLTM and CHO were agreed by inheriting the rule from R18 LTM:</w:t>
      </w:r>
    </w:p>
    <w:tbl>
      <w:tblPr>
        <w:tblStyle w:val="af8"/>
        <w:tblW w:w="0" w:type="auto"/>
        <w:tblLook w:val="04A0" w:firstRow="1" w:lastRow="0" w:firstColumn="1" w:lastColumn="0" w:noHBand="0" w:noVBand="1"/>
      </w:tblPr>
      <w:tblGrid>
        <w:gridCol w:w="9855"/>
      </w:tblGrid>
      <w:tr w:rsidR="00C75F3C" w14:paraId="6C4F5F5B" w14:textId="77777777" w:rsidTr="00C75F3C">
        <w:tc>
          <w:tcPr>
            <w:tcW w:w="9855" w:type="dxa"/>
          </w:tcPr>
          <w:p w14:paraId="0ADE2C90" w14:textId="77777777" w:rsidR="00C75F3C" w:rsidRDefault="00C75F3C" w:rsidP="00C75F3C">
            <w:pPr>
              <w:ind w:left="1281" w:hangingChars="638" w:hanging="1281"/>
              <w:rPr>
                <w:rFonts w:ascii="Times New Roman" w:eastAsiaTheme="minorEastAsia" w:hAnsi="Times New Roman"/>
                <w:b/>
                <w:bCs/>
              </w:rPr>
            </w:pPr>
            <w:r>
              <w:rPr>
                <w:rFonts w:ascii="Times New Roman" w:eastAsiaTheme="minorEastAsia" w:hAnsi="Times New Roman"/>
                <w:b/>
                <w:bCs/>
              </w:rPr>
              <w:t xml:space="preserve">Observation 1: Network triggered L3 HO, CHO and network triggered </w:t>
            </w:r>
            <w:proofErr w:type="spellStart"/>
            <w:r>
              <w:rPr>
                <w:rFonts w:ascii="Times New Roman" w:eastAsiaTheme="minorEastAsia" w:hAnsi="Times New Roman"/>
                <w:b/>
                <w:bCs/>
              </w:rPr>
              <w:t>PScell</w:t>
            </w:r>
            <w:proofErr w:type="spellEnd"/>
            <w:r>
              <w:rPr>
                <w:rFonts w:ascii="Times New Roman" w:eastAsiaTheme="minorEastAsia" w:hAnsi="Times New Roman"/>
                <w:b/>
                <w:bCs/>
              </w:rPr>
              <w:t xml:space="preserve"> change (SN change/SN modification) can be configured with intra-CU LTM, while the coexistence of LTM and DAPS HO is not supported in Rel-18.</w:t>
            </w:r>
          </w:p>
          <w:p w14:paraId="7763E0FB" w14:textId="77777777" w:rsidR="00C75F3C" w:rsidRDefault="00C75F3C" w:rsidP="00C75F3C">
            <w:pPr>
              <w:ind w:left="1276" w:hangingChars="638" w:hanging="1276"/>
              <w:rPr>
                <w:rFonts w:ascii="Times New Roman" w:eastAsia="Microsoft YaHei UI" w:hAnsi="Times New Roman"/>
                <w:b/>
                <w:bCs/>
                <w:color w:val="000000"/>
                <w:lang w:val="en-US"/>
              </w:rPr>
            </w:pPr>
            <w:r>
              <w:rPr>
                <w:rFonts w:ascii="Times New Roman" w:eastAsia="Microsoft YaHei UI" w:hAnsi="Times New Roman"/>
                <w:b/>
                <w:bCs/>
                <w:color w:val="000000"/>
                <w:lang w:val="en-US"/>
              </w:rPr>
              <w:t xml:space="preserve">Proposal 4: CLTM can coexist with network triggered L3 HO, CHO and network triggered </w:t>
            </w:r>
            <w:proofErr w:type="spellStart"/>
            <w:r>
              <w:rPr>
                <w:rFonts w:ascii="Times New Roman" w:eastAsia="Microsoft YaHei UI" w:hAnsi="Times New Roman"/>
                <w:b/>
                <w:bCs/>
                <w:color w:val="000000"/>
                <w:lang w:val="en-US"/>
              </w:rPr>
              <w:t>PScell</w:t>
            </w:r>
            <w:proofErr w:type="spellEnd"/>
            <w:r>
              <w:rPr>
                <w:rFonts w:ascii="Times New Roman" w:eastAsia="Microsoft YaHei UI" w:hAnsi="Times New Roman"/>
                <w:b/>
                <w:bCs/>
                <w:color w:val="000000"/>
                <w:lang w:val="en-US"/>
              </w:rPr>
              <w:t xml:space="preserve"> change, while the coexistence of CLTM and DAPS HO is not </w:t>
            </w:r>
            <w:proofErr w:type="gramStart"/>
            <w:r>
              <w:rPr>
                <w:rFonts w:ascii="Times New Roman" w:eastAsia="Microsoft YaHei UI" w:hAnsi="Times New Roman"/>
                <w:b/>
                <w:bCs/>
                <w:color w:val="000000"/>
                <w:lang w:val="en-US"/>
              </w:rPr>
              <w:t>supported</w:t>
            </w:r>
            <w:proofErr w:type="gramEnd"/>
          </w:p>
          <w:p w14:paraId="7F11E371" w14:textId="44F3F0D6" w:rsidR="00C75F3C" w:rsidRDefault="00C75F3C" w:rsidP="00C75F3C">
            <w:pPr>
              <w:pStyle w:val="Agreement"/>
              <w:spacing w:after="120"/>
            </w:pPr>
            <w:r>
              <w:t>Agreed.</w:t>
            </w:r>
          </w:p>
        </w:tc>
      </w:tr>
    </w:tbl>
    <w:p w14:paraId="4243E055" w14:textId="77777777" w:rsidR="009067D2" w:rsidRDefault="00C75F3C" w:rsidP="00C75F3C">
      <w:r>
        <w:t xml:space="preserve">In stage-2 open issue, one company mentioned the meaning of “CLTM co-exist with CHO” and think it is not clear whether CLTM and CHO can be configured for the same candidate cell. </w:t>
      </w:r>
    </w:p>
    <w:p w14:paraId="4CE622CE" w14:textId="77777777" w:rsidR="00A65340" w:rsidRDefault="00597109" w:rsidP="009067D2">
      <w:r w:rsidRPr="00597109">
        <w:t>In our understanding, CLTM is an extension of CHO that introduces additional features such as L1 measurement reporting and early synchronization. However, these new features are optional, and CLTM can “fallback” to CHO-like mobility if they are not configured. For example, if only L3 measurement is configured and no early synchronization indication is provided, CLTM will operate similarly to CHO.</w:t>
      </w:r>
    </w:p>
    <w:p w14:paraId="2AC5AF59" w14:textId="0F519209" w:rsidR="00597109" w:rsidRDefault="00597109" w:rsidP="009067D2">
      <w:r w:rsidRPr="00597109">
        <w:t xml:space="preserve"> </w:t>
      </w:r>
      <w:r w:rsidR="00A65340" w:rsidRPr="00A65340">
        <w:t xml:space="preserve">Therefore, from a </w:t>
      </w:r>
      <w:proofErr w:type="spellStart"/>
      <w:r w:rsidR="00A65340" w:rsidRPr="00A65340">
        <w:t>signaling</w:t>
      </w:r>
      <w:proofErr w:type="spellEnd"/>
      <w:r w:rsidR="00A65340" w:rsidRPr="00A65340">
        <w:t xml:space="preserve"> perspective, there is no need to configure two separate candidate configurations (CHO and CLTM) for the same candidate cell. The network can decide whether to trigger CLTM or CHO for a candidate cell based on its indication (e.g., by sending a TCI activation indication or a PDCCH order).</w:t>
      </w:r>
    </w:p>
    <w:p w14:paraId="68338B75" w14:textId="78F92D7B" w:rsidR="009067D2" w:rsidRDefault="00A65340" w:rsidP="009067D2">
      <w:pPr>
        <w:rPr>
          <w:rFonts w:cs="Arial"/>
        </w:rPr>
      </w:pPr>
      <w:r w:rsidRPr="00A65340">
        <w:rPr>
          <w:rFonts w:cs="Arial"/>
        </w:rPr>
        <w:t>Running two sets of conditional mobility mechanisms on the same cell simultaneously may cause confusion for both the UE and the network. If the candidate configurations for CHO and CLTM are identical for a given cell, this would result in unnecessary signalling overhead. Furthermore, regarding the UE’s capability limit for the number of event evaluations</w:t>
      </w:r>
      <w:r>
        <w:rPr>
          <w:rFonts w:cs="Arial"/>
        </w:rPr>
        <w:t xml:space="preserve"> (one for L1 condition and two for L3 condition)</w:t>
      </w:r>
      <w:r w:rsidRPr="00A65340">
        <w:rPr>
          <w:rFonts w:cs="Arial"/>
        </w:rPr>
        <w:t xml:space="preserve">, it is unclear whether CHO and CLTM share a common capability limit or have separate limits. This may lead to </w:t>
      </w:r>
      <w:r w:rsidR="00F501DE">
        <w:rPr>
          <w:rFonts w:cs="Arial"/>
        </w:rPr>
        <w:t xml:space="preserve">further </w:t>
      </w:r>
      <w:r w:rsidRPr="00A65340">
        <w:rPr>
          <w:rFonts w:cs="Arial"/>
        </w:rPr>
        <w:t>compatibility issue.</w:t>
      </w:r>
    </w:p>
    <w:p w14:paraId="6035B9B1" w14:textId="48AB45B1" w:rsidR="00A65340" w:rsidRPr="00F501DE" w:rsidRDefault="00F501DE" w:rsidP="009067D2">
      <w:pPr>
        <w:rPr>
          <w:rFonts w:cs="Arial"/>
          <w:b/>
          <w:bCs/>
        </w:rPr>
      </w:pPr>
      <w:r w:rsidRPr="00F501DE">
        <w:rPr>
          <w:rFonts w:cs="Arial"/>
          <w:b/>
          <w:bCs/>
        </w:rPr>
        <w:t>Proposal</w:t>
      </w:r>
      <w:r w:rsidR="00A50A48">
        <w:rPr>
          <w:rFonts w:cs="Arial"/>
          <w:b/>
          <w:bCs/>
        </w:rPr>
        <w:t xml:space="preserve"> 1</w:t>
      </w:r>
      <w:r w:rsidRPr="00F501DE">
        <w:rPr>
          <w:rFonts w:cs="Arial"/>
          <w:b/>
          <w:bCs/>
        </w:rPr>
        <w:t xml:space="preserve">: </w:t>
      </w:r>
      <w:r w:rsidR="009379B6" w:rsidRPr="009379B6">
        <w:rPr>
          <w:rFonts w:cs="Arial"/>
          <w:b/>
          <w:bCs/>
        </w:rPr>
        <w:t>Simultaneous configuration of CLTM and CHO for the same candidate cell is not</w:t>
      </w:r>
      <w:r w:rsidR="009379B6">
        <w:rPr>
          <w:rFonts w:cs="Arial"/>
          <w:b/>
          <w:bCs/>
        </w:rPr>
        <w:t xml:space="preserve"> supported</w:t>
      </w:r>
      <w:r w:rsidRPr="00F501DE">
        <w:rPr>
          <w:rFonts w:cs="Arial"/>
          <w:b/>
          <w:bCs/>
        </w:rPr>
        <w:t>.</w:t>
      </w:r>
    </w:p>
    <w:p w14:paraId="47D1DB2F" w14:textId="4F1D0557" w:rsidR="00C75F3C" w:rsidRPr="00C75F3C" w:rsidRDefault="00C75F3C" w:rsidP="00C75F3C"/>
    <w:p w14:paraId="53617A91" w14:textId="77777777" w:rsidR="009449E6" w:rsidRDefault="009449E6" w:rsidP="009449E6">
      <w:pPr>
        <w:pStyle w:val="2"/>
      </w:pPr>
      <w:r>
        <w:lastRenderedPageBreak/>
        <w:t>UE capability</w:t>
      </w:r>
    </w:p>
    <w:p w14:paraId="5DA7EE75" w14:textId="77777777" w:rsidR="009449E6" w:rsidRDefault="009449E6" w:rsidP="009449E6">
      <w:r w:rsidRPr="00BB5288">
        <w:t>Regarding the open issue of UE capability, there is a suggestion to introduce separate NR-DC capability for R19 Mobility.</w:t>
      </w:r>
    </w:p>
    <w:tbl>
      <w:tblPr>
        <w:tblStyle w:val="af8"/>
        <w:tblW w:w="0" w:type="auto"/>
        <w:tblLook w:val="04A0" w:firstRow="1" w:lastRow="0" w:firstColumn="1" w:lastColumn="0" w:noHBand="0" w:noVBand="1"/>
      </w:tblPr>
      <w:tblGrid>
        <w:gridCol w:w="9855"/>
      </w:tblGrid>
      <w:tr w:rsidR="009449E6" w14:paraId="4A139FCA" w14:textId="77777777" w:rsidTr="00C702E1">
        <w:tc>
          <w:tcPr>
            <w:tcW w:w="9855" w:type="dxa"/>
          </w:tcPr>
          <w:p w14:paraId="0E73D9EB" w14:textId="77777777" w:rsidR="009449E6" w:rsidRDefault="009449E6" w:rsidP="00C702E1">
            <w:r>
              <w:t>In Rel1</w:t>
            </w:r>
            <w:r w:rsidRPr="00203923">
              <w:t xml:space="preserve">8, </w:t>
            </w:r>
            <w:r w:rsidRPr="00203923">
              <w:rPr>
                <w:i/>
                <w:iCs/>
              </w:rPr>
              <w:t xml:space="preserve">ltm-MCG-NRDC-r18 and ltm-MCG-NRDC-Release-r18 </w:t>
            </w:r>
            <w:r w:rsidRPr="00203923">
              <w:t xml:space="preserve">are introduced </w:t>
            </w:r>
            <w:r>
              <w:t>for MCG LTM with NR-DC.</w:t>
            </w:r>
          </w:p>
          <w:tbl>
            <w:tblPr>
              <w:tblW w:w="9169" w:type="dxa"/>
              <w:tblInd w:w="105" w:type="dxa"/>
              <w:tblCellMar>
                <w:left w:w="0" w:type="dxa"/>
                <w:right w:w="0" w:type="dxa"/>
              </w:tblCellMar>
              <w:tblLook w:val="04A0" w:firstRow="1" w:lastRow="0" w:firstColumn="1" w:lastColumn="0" w:noHBand="0" w:noVBand="1"/>
            </w:tblPr>
            <w:tblGrid>
              <w:gridCol w:w="9169"/>
            </w:tblGrid>
            <w:tr w:rsidR="009449E6" w14:paraId="553FC993" w14:textId="77777777" w:rsidTr="00C702E1">
              <w:trPr>
                <w:cantSplit/>
                <w:trHeight w:val="1012"/>
              </w:trPr>
              <w:tc>
                <w:tcPr>
                  <w:tcW w:w="916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D7BD6EE" w14:textId="77777777" w:rsidR="009449E6" w:rsidRDefault="009449E6" w:rsidP="00C702E1">
                  <w:pPr>
                    <w:pStyle w:val="TAL"/>
                    <w:rPr>
                      <w:b/>
                      <w:bCs/>
                      <w:i/>
                      <w:iCs/>
                    </w:rPr>
                  </w:pPr>
                  <w:r>
                    <w:rPr>
                      <w:b/>
                      <w:bCs/>
                      <w:i/>
                      <w:iCs/>
                    </w:rPr>
                    <w:t>ltm-MCG-NRDC-r18</w:t>
                  </w:r>
                </w:p>
                <w:p w14:paraId="62F111AB" w14:textId="77777777" w:rsidR="009449E6" w:rsidRDefault="009449E6" w:rsidP="00C702E1">
                  <w:pPr>
                    <w:pStyle w:val="TAL"/>
                    <w:rPr>
                      <w:b/>
                      <w:bCs/>
                      <w:i/>
                      <w:iCs/>
                    </w:rPr>
                  </w:pPr>
                  <w:r>
                    <w:t xml:space="preserve">Indicates whether the UE supports LTM for MCG with RACH with NR-DC configured as defined in TS 38.331 [9] and TS 38.321 [8]. UE indicating support for this feature shall also indicate support of </w:t>
                  </w:r>
                  <w:r>
                    <w:rPr>
                      <w:i/>
                      <w:iCs/>
                    </w:rPr>
                    <w:t>ltm-MCG-IntraFreq-r18.</w:t>
                  </w:r>
                </w:p>
              </w:tc>
            </w:tr>
            <w:tr w:rsidR="009449E6" w14:paraId="53566C15" w14:textId="77777777" w:rsidTr="00C702E1">
              <w:trPr>
                <w:cantSplit/>
                <w:trHeight w:val="1020"/>
              </w:trPr>
              <w:tc>
                <w:tcPr>
                  <w:tcW w:w="91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B25014B" w14:textId="77777777" w:rsidR="009449E6" w:rsidRDefault="009449E6" w:rsidP="00C702E1">
                  <w:pPr>
                    <w:pStyle w:val="TAL"/>
                    <w:rPr>
                      <w:b/>
                      <w:bCs/>
                      <w:i/>
                      <w:iCs/>
                    </w:rPr>
                  </w:pPr>
                  <w:r>
                    <w:rPr>
                      <w:b/>
                      <w:bCs/>
                      <w:i/>
                      <w:iCs/>
                    </w:rPr>
                    <w:t>ltm-MCG-NRDC-Release-r18</w:t>
                  </w:r>
                </w:p>
                <w:p w14:paraId="25AF5B83" w14:textId="77777777" w:rsidR="009449E6" w:rsidRDefault="009449E6" w:rsidP="00C702E1">
                  <w:pPr>
                    <w:pStyle w:val="TAL"/>
                    <w:rPr>
                      <w:b/>
                      <w:bCs/>
                      <w:i/>
                      <w:iCs/>
                    </w:rPr>
                  </w:pPr>
                  <w:r>
                    <w:t xml:space="preserve">Indicates whether the UE supports LTM for MCG with the release of NR-DC configuration as part of LTM execution when LTM cell switch command MAC CE is received. UE indicating support for this feature shall also indicate support of </w:t>
                  </w:r>
                  <w:r>
                    <w:rPr>
                      <w:i/>
                      <w:iCs/>
                    </w:rPr>
                    <w:t>ltm-MCG-IntraFreq-r18.</w:t>
                  </w:r>
                </w:p>
              </w:tc>
            </w:tr>
          </w:tbl>
          <w:p w14:paraId="357D4403" w14:textId="77777777" w:rsidR="009449E6" w:rsidRDefault="009449E6" w:rsidP="00C702E1">
            <w:pPr>
              <w:pStyle w:val="TAL"/>
              <w:rPr>
                <w:bCs/>
                <w:iCs/>
                <w:sz w:val="20"/>
                <w:lang w:val="en-US"/>
              </w:rPr>
            </w:pPr>
            <w:r>
              <w:rPr>
                <w:bCs/>
                <w:iCs/>
                <w:sz w:val="20"/>
              </w:rPr>
              <w:t>In Rel-18, there was a restriction for MCG LTM as below:</w:t>
            </w:r>
          </w:p>
          <w:p w14:paraId="21A6ED86" w14:textId="77777777" w:rsidR="009449E6" w:rsidRDefault="009449E6" w:rsidP="00C702E1">
            <w:pPr>
              <w:pStyle w:val="TAL"/>
              <w:rPr>
                <w:b/>
                <w:bCs/>
                <w:i/>
                <w:szCs w:val="24"/>
              </w:rPr>
            </w:pPr>
            <w:proofErr w:type="spellStart"/>
            <w:r>
              <w:rPr>
                <w:b/>
                <w:bCs/>
                <w:i/>
              </w:rPr>
              <w:t>mrdc-SecondaryCellGroupConfig</w:t>
            </w:r>
            <w:proofErr w:type="spellEnd"/>
          </w:p>
          <w:p w14:paraId="1BF2FDA1" w14:textId="77777777" w:rsidR="009449E6" w:rsidRDefault="009449E6" w:rsidP="00C702E1">
            <w:pPr>
              <w:pStyle w:val="TAL"/>
              <w:rPr>
                <w:rFonts w:eastAsiaTheme="minorEastAsia"/>
                <w:color w:val="FF0000"/>
              </w:rPr>
            </w:pPr>
            <w:r>
              <w:rPr>
                <w:iCs/>
              </w:rPr>
              <w:t>This field is used to configure and release an SCG in NR-DC and NE-DC.</w:t>
            </w:r>
            <w:r>
              <w:rPr>
                <w:bCs/>
                <w:i/>
                <w:iCs/>
                <w:color w:val="FF0000"/>
              </w:rPr>
              <w:t xml:space="preserve"> </w:t>
            </w:r>
            <w:r>
              <w:rPr>
                <w:iCs/>
                <w:color w:val="FF0000"/>
              </w:rPr>
              <w:t xml:space="preserve">In an </w:t>
            </w:r>
            <w:proofErr w:type="spellStart"/>
            <w:r>
              <w:rPr>
                <w:i/>
                <w:iCs/>
                <w:color w:val="FF0000"/>
                <w:szCs w:val="22"/>
                <w:lang w:eastAsia="sv-SE"/>
              </w:rPr>
              <w:t>RRCReconfiguration</w:t>
            </w:r>
            <w:proofErr w:type="spellEnd"/>
            <w:r>
              <w:rPr>
                <w:color w:val="FF0000"/>
                <w:szCs w:val="22"/>
                <w:lang w:eastAsia="sv-SE"/>
              </w:rPr>
              <w:t xml:space="preserve"> message </w:t>
            </w:r>
            <w:r>
              <w:rPr>
                <w:color w:val="FF0000"/>
              </w:rPr>
              <w:t xml:space="preserve">within an </w:t>
            </w:r>
            <w:r>
              <w:rPr>
                <w:i/>
                <w:iCs/>
                <w:color w:val="FF0000"/>
              </w:rPr>
              <w:t>LTM-Config</w:t>
            </w:r>
            <w:r>
              <w:rPr>
                <w:color w:val="FF0000"/>
              </w:rPr>
              <w:t xml:space="preserve"> IE</w:t>
            </w:r>
            <w:r>
              <w:rPr>
                <w:rFonts w:eastAsiaTheme="minorEastAsia"/>
                <w:color w:val="FF0000"/>
              </w:rPr>
              <w:t xml:space="preserve"> associated with the MCG, if this field is present its value can only be set to </w:t>
            </w:r>
            <w:r>
              <w:rPr>
                <w:rFonts w:eastAsiaTheme="minorEastAsia"/>
                <w:i/>
                <w:iCs/>
                <w:color w:val="FF0000"/>
              </w:rPr>
              <w:t>release</w:t>
            </w:r>
            <w:r>
              <w:rPr>
                <w:rFonts w:eastAsiaTheme="minorEastAsia"/>
                <w:color w:val="FF0000"/>
              </w:rPr>
              <w:t>.</w:t>
            </w:r>
          </w:p>
          <w:p w14:paraId="53F8DC0F" w14:textId="77777777" w:rsidR="009449E6" w:rsidRDefault="009449E6" w:rsidP="00C702E1">
            <w:pPr>
              <w:pStyle w:val="TAL"/>
              <w:rPr>
                <w:rFonts w:ascii="Times New Roman" w:eastAsiaTheme="minorHAnsi" w:hAnsi="Times New Roman"/>
                <w:sz w:val="20"/>
                <w:lang w:val="en-IN"/>
              </w:rPr>
            </w:pPr>
          </w:p>
          <w:p w14:paraId="0D1F0BBC" w14:textId="77777777" w:rsidR="009449E6" w:rsidRDefault="009449E6" w:rsidP="00C702E1">
            <w:pPr>
              <w:pStyle w:val="TAL"/>
              <w:rPr>
                <w:rFonts w:eastAsiaTheme="minorHAnsi"/>
                <w:sz w:val="20"/>
                <w:lang w:val="en-IN"/>
              </w:rPr>
            </w:pPr>
            <w:r>
              <w:rPr>
                <w:rFonts w:eastAsiaTheme="minorHAnsi"/>
                <w:sz w:val="20"/>
                <w:lang w:val="en-IN"/>
              </w:rPr>
              <w:t xml:space="preserve">The restriction is removed in Rel-19, without any conditions. i.e. MCG LTM for intra-CU LTM, Inter-CU MCG LTM and CLTM may include </w:t>
            </w:r>
            <w:proofErr w:type="spellStart"/>
            <w:r>
              <w:rPr>
                <w:rFonts w:eastAsiaTheme="minorHAnsi"/>
                <w:b/>
                <w:sz w:val="20"/>
                <w:lang w:val="en-IN"/>
              </w:rPr>
              <w:t>mrdc-SecondaryCellGroupConfig</w:t>
            </w:r>
            <w:proofErr w:type="spellEnd"/>
            <w:r>
              <w:rPr>
                <w:rFonts w:eastAsiaTheme="minorHAnsi"/>
                <w:sz w:val="20"/>
                <w:lang w:val="en-IN"/>
              </w:rPr>
              <w:t xml:space="preserve"> set to setup. Since network needs to identify UEs which supports SCG addition/modification during MCG LTM, a new capability </w:t>
            </w:r>
            <w:proofErr w:type="gramStart"/>
            <w:r>
              <w:rPr>
                <w:rFonts w:eastAsiaTheme="minorHAnsi"/>
                <w:sz w:val="20"/>
                <w:lang w:val="en-IN"/>
              </w:rPr>
              <w:t>similar to</w:t>
            </w:r>
            <w:proofErr w:type="gramEnd"/>
            <w:r>
              <w:rPr>
                <w:rFonts w:eastAsiaTheme="minorHAnsi"/>
                <w:sz w:val="20"/>
                <w:lang w:val="en-IN"/>
              </w:rPr>
              <w:t xml:space="preserve"> the above capabilities may be added, as below. </w:t>
            </w:r>
          </w:p>
          <w:p w14:paraId="7B11EE6E" w14:textId="77777777" w:rsidR="009449E6" w:rsidRDefault="009449E6" w:rsidP="00C702E1">
            <w:pPr>
              <w:pStyle w:val="TAL"/>
              <w:rPr>
                <w:rFonts w:eastAsia="MS Mincho"/>
                <w:bCs/>
                <w:i/>
                <w:lang w:val="en-US" w:eastAsia="en-GB"/>
              </w:rPr>
            </w:pPr>
          </w:p>
          <w:p w14:paraId="79F4E892" w14:textId="77777777" w:rsidR="009449E6" w:rsidRDefault="009449E6" w:rsidP="00C702E1">
            <w:pPr>
              <w:pStyle w:val="TAL"/>
              <w:rPr>
                <w:b/>
                <w:bCs/>
                <w:i/>
                <w:iCs/>
                <w:color w:val="00B0F0"/>
              </w:rPr>
            </w:pPr>
            <w:r>
              <w:rPr>
                <w:b/>
                <w:bCs/>
                <w:i/>
                <w:iCs/>
                <w:color w:val="00B0F0"/>
              </w:rPr>
              <w:t>ltm-MCG-NRDC-Setup-r19</w:t>
            </w:r>
          </w:p>
          <w:p w14:paraId="438B178F" w14:textId="77777777" w:rsidR="009449E6" w:rsidRPr="00DA04C8" w:rsidRDefault="009449E6" w:rsidP="00C702E1">
            <w:pPr>
              <w:pStyle w:val="TAL"/>
              <w:rPr>
                <w:i/>
                <w:iCs/>
                <w:color w:val="00B0F0"/>
              </w:rPr>
            </w:pPr>
            <w:r>
              <w:rPr>
                <w:color w:val="00B0F0"/>
              </w:rPr>
              <w:t xml:space="preserve">Indicates whether the UE supports LTM for MCG with the setup of NR-DC configuration as part of LTM execution when LTM cell switch command MAC CE is received. UE indicating support for this feature shall also indicate support of </w:t>
            </w:r>
            <w:r>
              <w:rPr>
                <w:bCs/>
                <w:i/>
                <w:color w:val="00B0F0"/>
              </w:rPr>
              <w:t>ltm-MCG-IntraFreq-r18</w:t>
            </w:r>
            <w:r>
              <w:rPr>
                <w:i/>
                <w:iCs/>
                <w:color w:val="00B0F0"/>
              </w:rPr>
              <w:t>.</w:t>
            </w:r>
          </w:p>
        </w:tc>
      </w:tr>
    </w:tbl>
    <w:p w14:paraId="1EE1F799" w14:textId="77777777" w:rsidR="009449E6" w:rsidRDefault="009449E6" w:rsidP="009449E6"/>
    <w:p w14:paraId="6DE5F63A" w14:textId="09BB46F1" w:rsidR="009449E6" w:rsidRDefault="009449E6" w:rsidP="009449E6">
      <w:r>
        <w:t>Rapporteur suggest</w:t>
      </w:r>
      <w:r w:rsidR="00A073AE">
        <w:t>s</w:t>
      </w:r>
      <w:r>
        <w:t xml:space="preserve"> </w:t>
      </w:r>
      <w:proofErr w:type="gramStart"/>
      <w:r>
        <w:t>to reuse</w:t>
      </w:r>
      <w:proofErr w:type="gramEnd"/>
      <w:r>
        <w:t xml:space="preserve"> Rel-18 capabilit</w:t>
      </w:r>
      <w:r w:rsidR="00973B97">
        <w:t>ies</w:t>
      </w:r>
      <w:r>
        <w:t xml:space="preserve"> </w:t>
      </w:r>
      <w:r>
        <w:rPr>
          <w:i/>
          <w:iCs/>
        </w:rPr>
        <w:t>ltm-MCG-NRDC-r18 and ltm-MCG-NRDC-Release-r18</w:t>
      </w:r>
      <w:r w:rsidRPr="009449E6">
        <w:t xml:space="preserve"> for Rel-19.</w:t>
      </w:r>
      <w:r>
        <w:t xml:space="preserve"> However, the “</w:t>
      </w:r>
      <w:proofErr w:type="spellStart"/>
      <w:r w:rsidRPr="009449E6">
        <w:rPr>
          <w:rFonts w:eastAsiaTheme="minorHAnsi"/>
          <w:bCs/>
          <w:i/>
          <w:iCs/>
          <w:lang w:val="en-IN"/>
        </w:rPr>
        <w:t>mrdc-SecondaryCellGroupConfig</w:t>
      </w:r>
      <w:proofErr w:type="spellEnd"/>
      <w:r>
        <w:rPr>
          <w:rFonts w:eastAsiaTheme="minorHAnsi"/>
          <w:lang w:val="en-IN"/>
        </w:rPr>
        <w:t xml:space="preserve"> set to setup</w:t>
      </w:r>
      <w:r>
        <w:t>” is prohibited in Rel-18 and newly added in Rel-19</w:t>
      </w:r>
      <w:r w:rsidR="00040D1B">
        <w:t>, according to the red text above</w:t>
      </w:r>
      <w:r>
        <w:t>. So</w:t>
      </w:r>
      <w:r w:rsidR="00040D1B">
        <w:t>,</w:t>
      </w:r>
      <w:r>
        <w:t xml:space="preserve"> </w:t>
      </w:r>
      <w:r w:rsidR="00040D1B">
        <w:t>there are more scenarios introduced in Rel-19</w:t>
      </w:r>
      <w:r>
        <w:t>.</w:t>
      </w:r>
    </w:p>
    <w:p w14:paraId="2A23F3DA" w14:textId="5CFBDEC7" w:rsidR="009449E6" w:rsidRDefault="009449E6" w:rsidP="009449E6">
      <w:r>
        <w:t>To be specific. In Rel-18, the following capabilit</w:t>
      </w:r>
      <w:r w:rsidR="00A073AE">
        <w:t>ies</w:t>
      </w:r>
      <w:r>
        <w:t xml:space="preserve"> is indicated for the following cases:</w:t>
      </w:r>
    </w:p>
    <w:p w14:paraId="69E847B3" w14:textId="29A98ADD" w:rsidR="009449E6" w:rsidRDefault="009449E6" w:rsidP="00A073AE">
      <w:pPr>
        <w:pStyle w:val="afa"/>
        <w:numPr>
          <w:ilvl w:val="0"/>
          <w:numId w:val="24"/>
        </w:numPr>
      </w:pPr>
      <w:r w:rsidRPr="009449E6">
        <w:t>Case 1: UE executes MCG LTM upon which NR-DC is released</w:t>
      </w:r>
      <w:r w:rsidR="00A073AE">
        <w:t xml:space="preserve"> </w:t>
      </w:r>
      <w:r>
        <w:t>(</w:t>
      </w:r>
      <w:proofErr w:type="spellStart"/>
      <w:r w:rsidR="00A073AE" w:rsidRPr="00A073AE">
        <w:rPr>
          <w:color w:val="0070C0"/>
        </w:rPr>
        <w:t>mrdc-SecondaryCellGroupConfig</w:t>
      </w:r>
      <w:proofErr w:type="spellEnd"/>
      <w:r w:rsidR="00A073AE" w:rsidRPr="00A073AE">
        <w:rPr>
          <w:color w:val="0070C0"/>
        </w:rPr>
        <w:t>= release</w:t>
      </w:r>
      <w:r>
        <w:t>)</w:t>
      </w:r>
    </w:p>
    <w:p w14:paraId="476FF254" w14:textId="4B2092FD" w:rsidR="00A073AE" w:rsidRPr="00A073AE" w:rsidRDefault="009449E6" w:rsidP="00A073AE">
      <w:pPr>
        <w:pStyle w:val="afa"/>
        <w:numPr>
          <w:ilvl w:val="1"/>
          <w:numId w:val="24"/>
        </w:numPr>
      </w:pPr>
      <w:r>
        <w:t xml:space="preserve">In this case, </w:t>
      </w:r>
      <w:r w:rsidR="00A073AE" w:rsidRPr="006453F3">
        <w:rPr>
          <w:i/>
          <w:iCs/>
        </w:rPr>
        <w:t>ltm-MCG-NRDC-Release-r18</w:t>
      </w:r>
      <w:r w:rsidR="00A073AE" w:rsidRPr="00A073AE">
        <w:t xml:space="preserve"> is needed.</w:t>
      </w:r>
    </w:p>
    <w:p w14:paraId="08753C88" w14:textId="44DB03B8" w:rsidR="009449E6" w:rsidRPr="009449E6" w:rsidRDefault="009449E6" w:rsidP="00A073AE">
      <w:pPr>
        <w:pStyle w:val="afa"/>
        <w:numPr>
          <w:ilvl w:val="0"/>
          <w:numId w:val="24"/>
        </w:numPr>
      </w:pPr>
      <w:r w:rsidRPr="009449E6">
        <w:t>Case 2: UE executes MCG LTM upon which NR-DC is kept without changes. (</w:t>
      </w:r>
      <w:proofErr w:type="spellStart"/>
      <w:proofErr w:type="gramStart"/>
      <w:r w:rsidRPr="00A073AE">
        <w:rPr>
          <w:color w:val="0070C0"/>
        </w:rPr>
        <w:t>mrdc</w:t>
      </w:r>
      <w:proofErr w:type="gramEnd"/>
      <w:r w:rsidRPr="00A073AE">
        <w:rPr>
          <w:color w:val="0070C0"/>
        </w:rPr>
        <w:t>-SecondaryCellGroupConfig</w:t>
      </w:r>
      <w:proofErr w:type="spellEnd"/>
      <w:r w:rsidRPr="00A073AE">
        <w:rPr>
          <w:color w:val="0070C0"/>
        </w:rPr>
        <w:t xml:space="preserve"> </w:t>
      </w:r>
      <w:r w:rsidR="00A073AE" w:rsidRPr="00A073AE">
        <w:rPr>
          <w:color w:val="0070C0"/>
        </w:rPr>
        <w:t xml:space="preserve">is absence </w:t>
      </w:r>
      <w:r w:rsidRPr="009449E6">
        <w:t>and UE maintains the current SCG configuration.)</w:t>
      </w:r>
    </w:p>
    <w:p w14:paraId="37C69102" w14:textId="27302B99" w:rsidR="00A073AE" w:rsidRPr="00A073AE" w:rsidRDefault="00A073AE" w:rsidP="00A073AE">
      <w:pPr>
        <w:pStyle w:val="TAL"/>
        <w:numPr>
          <w:ilvl w:val="1"/>
          <w:numId w:val="24"/>
        </w:numPr>
        <w:spacing w:after="120"/>
        <w:rPr>
          <w:sz w:val="20"/>
          <w:lang w:eastAsia="zh-CN"/>
        </w:rPr>
      </w:pPr>
      <w:r>
        <w:rPr>
          <w:lang w:val="en-US"/>
        </w:rPr>
        <w:t>In</w:t>
      </w:r>
      <w:r w:rsidRPr="00A073AE">
        <w:rPr>
          <w:sz w:val="20"/>
          <w:lang w:eastAsia="zh-CN"/>
        </w:rPr>
        <w:t xml:space="preserve"> this case, </w:t>
      </w:r>
      <w:r w:rsidRPr="00A073AE">
        <w:rPr>
          <w:i/>
          <w:iCs/>
          <w:sz w:val="20"/>
          <w:lang w:eastAsia="zh-CN"/>
        </w:rPr>
        <w:t>ltm-MCG-NRDC-r18</w:t>
      </w:r>
      <w:r w:rsidRPr="00A073AE">
        <w:rPr>
          <w:sz w:val="20"/>
          <w:lang w:eastAsia="zh-CN"/>
        </w:rPr>
        <w:t xml:space="preserve"> is needed</w:t>
      </w:r>
      <w:r>
        <w:rPr>
          <w:sz w:val="20"/>
          <w:lang w:eastAsia="zh-CN"/>
        </w:rPr>
        <w:t>.</w:t>
      </w:r>
    </w:p>
    <w:p w14:paraId="4FD7B91F" w14:textId="44BF551C" w:rsidR="009449E6" w:rsidRPr="00A073AE" w:rsidRDefault="00A073AE" w:rsidP="00A073AE">
      <w:r>
        <w:t>However, In Rel-19, the following new case are introduced, for the SN key update purpose.</w:t>
      </w:r>
    </w:p>
    <w:p w14:paraId="5CFC506C" w14:textId="44955566" w:rsidR="00A073AE" w:rsidRDefault="00A073AE" w:rsidP="00A073AE">
      <w:pPr>
        <w:pStyle w:val="afa"/>
        <w:numPr>
          <w:ilvl w:val="0"/>
          <w:numId w:val="25"/>
        </w:numPr>
        <w:textAlignment w:val="auto"/>
      </w:pPr>
      <w:r>
        <w:t xml:space="preserve">Case 3: </w:t>
      </w:r>
      <w:r w:rsidRPr="00A073AE">
        <w:t>UE has NR-DC configured.</w:t>
      </w:r>
      <w:r>
        <w:t xml:space="preserve"> UE executes MCG LTM upon which </w:t>
      </w:r>
      <w:r w:rsidRPr="00A073AE">
        <w:t>SCG configuration is modified</w:t>
      </w:r>
      <w:r>
        <w:t xml:space="preserve"> (</w:t>
      </w:r>
      <w:proofErr w:type="spellStart"/>
      <w:r w:rsidRPr="00A073AE">
        <w:rPr>
          <w:color w:val="0070C0"/>
        </w:rPr>
        <w:t>mrdc-SecondaryCellGroupConfig</w:t>
      </w:r>
      <w:proofErr w:type="spellEnd"/>
      <w:r w:rsidRPr="00A073AE">
        <w:rPr>
          <w:color w:val="0070C0"/>
        </w:rPr>
        <w:t>=</w:t>
      </w:r>
      <w:r>
        <w:rPr>
          <w:color w:val="0070C0"/>
        </w:rPr>
        <w:t>setup</w:t>
      </w:r>
      <w:r>
        <w:t>)</w:t>
      </w:r>
    </w:p>
    <w:p w14:paraId="2E58A668" w14:textId="2779A296" w:rsidR="00A073AE" w:rsidRDefault="00A073AE" w:rsidP="00A073AE">
      <w:pPr>
        <w:textAlignment w:val="auto"/>
      </w:pPr>
      <w:r>
        <w:t>Although the motivation is only for SN key update, this case is different from case 1 or 2. So a separate UE capability is needed for this case.</w:t>
      </w:r>
    </w:p>
    <w:p w14:paraId="1C82C0ED" w14:textId="1B607BBD" w:rsidR="006532E9" w:rsidRDefault="006532E9" w:rsidP="00A073AE">
      <w:pPr>
        <w:textAlignment w:val="auto"/>
      </w:pPr>
      <w:r w:rsidRPr="006453F3">
        <w:rPr>
          <w:b/>
          <w:bCs/>
        </w:rPr>
        <w:t>Proposal</w:t>
      </w:r>
      <w:r w:rsidR="00A50A48">
        <w:rPr>
          <w:b/>
          <w:bCs/>
        </w:rPr>
        <w:t xml:space="preserve"> 2</w:t>
      </w:r>
      <w:r w:rsidRPr="006453F3">
        <w:rPr>
          <w:b/>
          <w:bCs/>
        </w:rPr>
        <w:t>: A separate UE capability is introduced for MCG LTM with</w:t>
      </w:r>
      <w:r w:rsidR="006453F3" w:rsidRPr="006453F3">
        <w:rPr>
          <w:b/>
          <w:bCs/>
        </w:rPr>
        <w:t xml:space="preserve"> the setup of NR-DC configuration</w:t>
      </w:r>
      <w:r w:rsidR="006453F3">
        <w:t>.</w:t>
      </w:r>
    </w:p>
    <w:p w14:paraId="541E1A8B" w14:textId="18AB87F7" w:rsidR="006453F3" w:rsidRDefault="006453F3" w:rsidP="00A073AE">
      <w:pPr>
        <w:textAlignment w:val="auto"/>
      </w:pPr>
      <w:r>
        <w:t>Moreover, for SN addition case, RAN2 had the following discussion and agreement:</w:t>
      </w:r>
    </w:p>
    <w:tbl>
      <w:tblPr>
        <w:tblStyle w:val="af8"/>
        <w:tblW w:w="0" w:type="auto"/>
        <w:tblLook w:val="04A0" w:firstRow="1" w:lastRow="0" w:firstColumn="1" w:lastColumn="0" w:noHBand="0" w:noVBand="1"/>
      </w:tblPr>
      <w:tblGrid>
        <w:gridCol w:w="9855"/>
      </w:tblGrid>
      <w:tr w:rsidR="006453F3" w14:paraId="476D9ED7" w14:textId="77777777" w:rsidTr="006453F3">
        <w:tc>
          <w:tcPr>
            <w:tcW w:w="9855" w:type="dxa"/>
          </w:tcPr>
          <w:p w14:paraId="48BA04D8" w14:textId="77777777" w:rsidR="006453F3" w:rsidRDefault="006453F3" w:rsidP="006453F3">
            <w:pPr>
              <w:pStyle w:val="Doc-text2"/>
              <w:ind w:left="0" w:firstLine="0"/>
              <w:rPr>
                <w:b/>
                <w:bCs/>
                <w:lang w:val="en-US"/>
              </w:rPr>
            </w:pPr>
            <w:r>
              <w:rPr>
                <w:b/>
                <w:bCs/>
              </w:rPr>
              <w:t>RAN2#130</w:t>
            </w:r>
          </w:p>
          <w:p w14:paraId="23589B87" w14:textId="77777777" w:rsidR="006453F3" w:rsidRDefault="006453F3" w:rsidP="006453F3">
            <w:pPr>
              <w:pStyle w:val="Doc-text2"/>
              <w:ind w:left="0" w:firstLine="0"/>
            </w:pPr>
            <w:r>
              <w:t>Proposal 1: Regarding MCG LTM with SN addition, RAN2 to discuss and confirm whether there is no restriction on only supporting MCG LTM with SN addition within the same SN.</w:t>
            </w:r>
          </w:p>
          <w:p w14:paraId="19534158" w14:textId="77777777" w:rsidR="006453F3" w:rsidRDefault="006453F3" w:rsidP="006453F3">
            <w:pPr>
              <w:pStyle w:val="Doc-text2"/>
              <w:ind w:left="0" w:firstLine="0"/>
            </w:pPr>
          </w:p>
          <w:p w14:paraId="29FE8265" w14:textId="77777777" w:rsidR="006453F3" w:rsidRDefault="006453F3" w:rsidP="006453F3">
            <w:pPr>
              <w:pStyle w:val="Doc-text2"/>
              <w:ind w:left="0" w:firstLine="0"/>
            </w:pPr>
            <w:r>
              <w:t xml:space="preserve">[Ericsson]: SN addition is SN </w:t>
            </w:r>
            <w:proofErr w:type="gramStart"/>
            <w:r>
              <w:t>addition</w:t>
            </w:r>
            <w:proofErr w:type="gramEnd"/>
            <w:r>
              <w:t xml:space="preserve"> and we don’t have different procedure to the same and different SN. [Apple]: The original intention was to allow </w:t>
            </w:r>
            <w:proofErr w:type="spellStart"/>
            <w:r>
              <w:t>sk</w:t>
            </w:r>
            <w:proofErr w:type="spellEnd"/>
            <w:r>
              <w:t xml:space="preserve">-counter update due to MN change. However, if we allow SN change simultaneously, it may bring additional issue. [Vivo]: No need of restriction in the stage 2. [Xiaomi]: At </w:t>
            </w:r>
            <w:r>
              <w:lastRenderedPageBreak/>
              <w:t xml:space="preserve">least, we should clarify that inter-MN change with SN change shouldn’t be supported. [China Telecom]: This restriction (i.e. inter-MN change with SN change shouldn’t be supported) was already captured in the running CR. </w:t>
            </w:r>
          </w:p>
          <w:p w14:paraId="23DD23BA" w14:textId="77777777" w:rsidR="006453F3" w:rsidRDefault="006453F3" w:rsidP="006453F3">
            <w:pPr>
              <w:pStyle w:val="Doc-text2"/>
              <w:ind w:left="0" w:firstLine="0"/>
            </w:pPr>
          </w:p>
          <w:p w14:paraId="6285F0A4" w14:textId="75B05189" w:rsidR="006453F3" w:rsidRDefault="006453F3" w:rsidP="006453F3">
            <w:pPr>
              <w:pStyle w:val="afa"/>
              <w:numPr>
                <w:ilvl w:val="0"/>
                <w:numId w:val="26"/>
              </w:numPr>
              <w:textAlignment w:val="auto"/>
            </w:pPr>
            <w:r w:rsidRPr="006453F3">
              <w:rPr>
                <w:rFonts w:hint="eastAsia"/>
                <w:b/>
                <w:bCs/>
              </w:rPr>
              <w:t>No restriction on only supporting MCG LTM with SN addition within the same SN.</w:t>
            </w:r>
          </w:p>
        </w:tc>
      </w:tr>
    </w:tbl>
    <w:p w14:paraId="6AA25A01" w14:textId="7885A787" w:rsidR="006453F3" w:rsidRDefault="006453F3" w:rsidP="00A073AE">
      <w:pPr>
        <w:textAlignment w:val="auto"/>
      </w:pPr>
      <w:r>
        <w:lastRenderedPageBreak/>
        <w:t>In our understanding, it implies that the following case is also valid:</w:t>
      </w:r>
    </w:p>
    <w:p w14:paraId="571F46CD" w14:textId="24BF9EB1" w:rsidR="006453F3" w:rsidRDefault="006453F3" w:rsidP="006453F3">
      <w:pPr>
        <w:pStyle w:val="afa"/>
        <w:numPr>
          <w:ilvl w:val="0"/>
          <w:numId w:val="25"/>
        </w:numPr>
        <w:textAlignment w:val="auto"/>
      </w:pPr>
      <w:r>
        <w:t xml:space="preserve">Case 4: </w:t>
      </w:r>
      <w:r w:rsidRPr="006453F3">
        <w:t>UE does not yet have NR-DC configured and UE executes MCG LTM upon which NR-DC is setup</w:t>
      </w:r>
      <w:r>
        <w:t xml:space="preserve"> (</w:t>
      </w:r>
      <w:proofErr w:type="spellStart"/>
      <w:r>
        <w:rPr>
          <w:color w:val="0070C0"/>
        </w:rPr>
        <w:t>mrdc-SecondaryCellGroupConfig</w:t>
      </w:r>
      <w:proofErr w:type="spellEnd"/>
      <w:r>
        <w:rPr>
          <w:color w:val="0070C0"/>
        </w:rPr>
        <w:t>=setup</w:t>
      </w:r>
      <w:r>
        <w:t>)</w:t>
      </w:r>
    </w:p>
    <w:p w14:paraId="60743C6F" w14:textId="10EDD9C1" w:rsidR="006453F3" w:rsidRDefault="00A50A48" w:rsidP="006453F3">
      <w:pPr>
        <w:textAlignment w:val="auto"/>
      </w:pPr>
      <w:r>
        <w:t>However, it is not clear to us if this case is still for SN key change purpose. We suggest RAN2 to discuss the motivation of this case first and decide whether to introduce a separate UE capability for it.</w:t>
      </w:r>
    </w:p>
    <w:p w14:paraId="5268B9A2" w14:textId="3C1864EE" w:rsidR="00A50A48" w:rsidRDefault="00A50A48" w:rsidP="00A50A48">
      <w:r w:rsidRPr="00A50A48">
        <w:rPr>
          <w:b/>
          <w:bCs/>
        </w:rPr>
        <w:t>Proposal</w:t>
      </w:r>
      <w:r>
        <w:rPr>
          <w:b/>
          <w:bCs/>
        </w:rPr>
        <w:t xml:space="preserve"> 3</w:t>
      </w:r>
      <w:r w:rsidRPr="00A50A48">
        <w:rPr>
          <w:b/>
          <w:bCs/>
        </w:rPr>
        <w:t>: RAN2 to discuss</w:t>
      </w:r>
      <w:r w:rsidR="00040D1B">
        <w:rPr>
          <w:b/>
          <w:bCs/>
        </w:rPr>
        <w:t xml:space="preserve"> if case 4 (</w:t>
      </w:r>
      <w:r w:rsidR="00040D1B" w:rsidRPr="00040D1B">
        <w:rPr>
          <w:b/>
          <w:bCs/>
        </w:rPr>
        <w:t>UE does not yet have NR-DC configured and UE executes MCG LTM upon which NR-DC is setup</w:t>
      </w:r>
      <w:r w:rsidR="00040D1B">
        <w:rPr>
          <w:b/>
          <w:bCs/>
        </w:rPr>
        <w:t xml:space="preserve">) is a valid case and </w:t>
      </w:r>
      <w:r w:rsidRPr="00A50A48">
        <w:rPr>
          <w:b/>
          <w:bCs/>
        </w:rPr>
        <w:t>decide whether to introduce a separate UE capability for it</w:t>
      </w:r>
      <w:r>
        <w:t>.</w:t>
      </w:r>
    </w:p>
    <w:p w14:paraId="1B5412A4" w14:textId="4159904A" w:rsidR="006E21D4" w:rsidRPr="006E21D4" w:rsidRDefault="006E21D4" w:rsidP="009B2EC2">
      <w:pPr>
        <w:rPr>
          <w:b/>
          <w:bCs/>
        </w:rPr>
      </w:pPr>
    </w:p>
    <w:p w14:paraId="69BF704B" w14:textId="77777777" w:rsidR="00334FCE" w:rsidRPr="001B4A6F" w:rsidRDefault="00334FCE" w:rsidP="009B2EC2"/>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06AEBD5D" w14:textId="20B1CDA2" w:rsidR="00625207" w:rsidRDefault="00696A10" w:rsidP="0027139D">
      <w:pPr>
        <w:rPr>
          <w:rFonts w:cs="Arial"/>
          <w:b/>
          <w:bCs/>
        </w:rPr>
      </w:pPr>
      <w:r>
        <w:rPr>
          <w:rFonts w:cs="Arial"/>
          <w:b/>
          <w:bCs/>
        </w:rPr>
        <w:t>Proposal 1: Simultaneous configuration of CLTM and CHO for the same candidate cell is not supported.</w:t>
      </w:r>
    </w:p>
    <w:p w14:paraId="50E9F7C5" w14:textId="008E506B" w:rsidR="00696A10" w:rsidRPr="00DB6B45" w:rsidRDefault="00696A10" w:rsidP="0027139D">
      <w:pPr>
        <w:rPr>
          <w:u w:val="single"/>
        </w:rPr>
      </w:pPr>
      <w:r>
        <w:rPr>
          <w:b/>
          <w:bCs/>
        </w:rPr>
        <w:t>Proposal 2: A separate UE capability is introduced for MCG LTM with the setup of NR-DC configuration</w:t>
      </w:r>
      <w:r>
        <w:t>.</w:t>
      </w:r>
    </w:p>
    <w:p w14:paraId="0B28D700" w14:textId="74BF882C" w:rsidR="00DB6B45" w:rsidRPr="00583DFD" w:rsidRDefault="00696A10" w:rsidP="004B6478">
      <w:pPr>
        <w:jc w:val="left"/>
        <w:rPr>
          <w:rFonts w:cs="Arial"/>
          <w:b/>
          <w:bCs/>
        </w:rPr>
      </w:pPr>
      <w:r>
        <w:rPr>
          <w:b/>
          <w:bCs/>
        </w:rPr>
        <w:t>Proposal 3: RAN2 to discuss if case 4 (UE does not yet have NR-DC configured and UE executes MCG LTM upon which NR-DC is setup) is a valid case and decide whether to introduce a separate UE capability for it</w:t>
      </w:r>
      <w:r>
        <w:t>.</w:t>
      </w:r>
    </w:p>
    <w:p w14:paraId="612B9EA7" w14:textId="51C9D6D1" w:rsidR="00DB6B45" w:rsidRPr="00625207" w:rsidRDefault="00DB6B45" w:rsidP="0027139D">
      <w:pPr>
        <w:rPr>
          <w:b/>
          <w:bCs/>
          <w:u w:val="single"/>
        </w:rPr>
      </w:pPr>
    </w:p>
    <w:p w14:paraId="6B5B415F" w14:textId="3C153777" w:rsidR="00610923" w:rsidRPr="00125D09" w:rsidRDefault="00610923" w:rsidP="00AE14F3">
      <w:pPr>
        <w:pStyle w:val="1"/>
        <w:ind w:hanging="792"/>
      </w:pPr>
      <w:r w:rsidRPr="00125D09">
        <w:t>References</w:t>
      </w:r>
    </w:p>
    <w:p w14:paraId="72AF8E1C" w14:textId="30AEDFB3" w:rsidR="00ED56C6" w:rsidRPr="00ED56C6" w:rsidRDefault="00ED56C6">
      <w:pPr>
        <w:pStyle w:val="Reference"/>
        <w:numPr>
          <w:ilvl w:val="0"/>
          <w:numId w:val="15"/>
        </w:numPr>
        <w:textAlignment w:val="auto"/>
        <w:rPr>
          <w:rFonts w:cs="Arial"/>
        </w:rPr>
      </w:pPr>
      <w:bookmarkStart w:id="1" w:name="OLE_LINK34"/>
      <w:r w:rsidRPr="00ED56C6">
        <w:rPr>
          <w:rFonts w:cs="Arial"/>
        </w:rPr>
        <w:t xml:space="preserve">R2_131_R18SL_R18R19 MOB_R19 </w:t>
      </w:r>
      <w:proofErr w:type="spellStart"/>
      <w:r w:rsidRPr="00ED56C6">
        <w:rPr>
          <w:rFonts w:cs="Arial"/>
        </w:rPr>
        <w:t>NES_Session</w:t>
      </w:r>
      <w:proofErr w:type="spellEnd"/>
      <w:r w:rsidRPr="00ED56C6">
        <w:rPr>
          <w:rFonts w:cs="Arial"/>
        </w:rPr>
        <w:t xml:space="preserve"> </w:t>
      </w:r>
      <w:proofErr w:type="spellStart"/>
      <w:r w:rsidRPr="00ED56C6">
        <w:rPr>
          <w:rFonts w:cs="Arial"/>
        </w:rPr>
        <w:t>Notes_EoM</w:t>
      </w:r>
      <w:proofErr w:type="spellEnd"/>
    </w:p>
    <w:p w14:paraId="519E3540" w14:textId="0B91C7ED" w:rsidR="00ED56C6" w:rsidRPr="00ED56C6" w:rsidRDefault="00ED56C6">
      <w:pPr>
        <w:pStyle w:val="Reference"/>
        <w:numPr>
          <w:ilvl w:val="0"/>
          <w:numId w:val="15"/>
        </w:numPr>
        <w:textAlignment w:val="auto"/>
        <w:rPr>
          <w:rFonts w:cs="Arial"/>
        </w:rPr>
      </w:pPr>
      <w:r w:rsidRPr="00ED56C6">
        <w:rPr>
          <w:rFonts w:cs="Arial"/>
        </w:rPr>
        <w:t>R2-250xxxx Open issues on UE capability for Mob Ph4 v04_rapp</w:t>
      </w:r>
    </w:p>
    <w:p w14:paraId="339FF702" w14:textId="0A97800E" w:rsidR="00ED56C6" w:rsidRPr="00ED56C6" w:rsidRDefault="00ED56C6">
      <w:pPr>
        <w:pStyle w:val="Reference"/>
        <w:numPr>
          <w:ilvl w:val="0"/>
          <w:numId w:val="15"/>
        </w:numPr>
        <w:textAlignment w:val="auto"/>
        <w:rPr>
          <w:rFonts w:cs="Arial"/>
        </w:rPr>
      </w:pPr>
      <w:r w:rsidRPr="00ED56C6">
        <w:rPr>
          <w:rFonts w:cs="Arial"/>
        </w:rPr>
        <w:t>R2-250xxxx List of 38.300 open issues for R19 mobility_v02_MediaTek</w:t>
      </w:r>
    </w:p>
    <w:p w14:paraId="4BD96683" w14:textId="4B8A3754" w:rsidR="00ED56C6" w:rsidRPr="00ED56C6" w:rsidRDefault="00ED56C6" w:rsidP="00696A10">
      <w:pPr>
        <w:pStyle w:val="Reference"/>
        <w:numPr>
          <w:ilvl w:val="0"/>
          <w:numId w:val="0"/>
        </w:numPr>
        <w:textAlignment w:val="auto"/>
        <w:rPr>
          <w:rFonts w:cs="Arial"/>
        </w:rPr>
      </w:pP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1"/>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B6F709A"/>
    <w:multiLevelType w:val="hybridMultilevel"/>
    <w:tmpl w:val="17A8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13D2C"/>
    <w:multiLevelType w:val="hybridMultilevel"/>
    <w:tmpl w:val="B834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0F60B1"/>
    <w:multiLevelType w:val="hybridMultilevel"/>
    <w:tmpl w:val="66C6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A92FA8"/>
    <w:multiLevelType w:val="hybridMultilevel"/>
    <w:tmpl w:val="8E7CD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A5C69"/>
    <w:multiLevelType w:val="hybridMultilevel"/>
    <w:tmpl w:val="0602C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0" w15:restartNumberingAfterBreak="0">
    <w:nsid w:val="78465D8D"/>
    <w:multiLevelType w:val="hybridMultilevel"/>
    <w:tmpl w:val="6B4E0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2"/>
  </w:num>
  <w:num w:numId="3" w16cid:durableId="1953395335">
    <w:abstractNumId w:val="7"/>
  </w:num>
  <w:num w:numId="4" w16cid:durableId="2065714941">
    <w:abstractNumId w:val="9"/>
  </w:num>
  <w:num w:numId="5" w16cid:durableId="1377702009">
    <w:abstractNumId w:val="4"/>
  </w:num>
  <w:num w:numId="6" w16cid:durableId="438909715">
    <w:abstractNumId w:val="10"/>
  </w:num>
  <w:num w:numId="7" w16cid:durableId="16661354">
    <w:abstractNumId w:val="17"/>
  </w:num>
  <w:num w:numId="8" w16cid:durableId="1090807287">
    <w:abstractNumId w:val="5"/>
  </w:num>
  <w:num w:numId="9" w16cid:durableId="1203053534">
    <w:abstractNumId w:val="14"/>
  </w:num>
  <w:num w:numId="10" w16cid:durableId="281545719">
    <w:abstractNumId w:val="21"/>
  </w:num>
  <w:num w:numId="11" w16cid:durableId="459420413">
    <w:abstractNumId w:val="16"/>
  </w:num>
  <w:num w:numId="12" w16cid:durableId="314529867">
    <w:abstractNumId w:val="19"/>
  </w:num>
  <w:num w:numId="13" w16cid:durableId="94133385">
    <w:abstractNumId w:val="15"/>
  </w:num>
  <w:num w:numId="14" w16cid:durableId="1187518846">
    <w:abstractNumId w:val="8"/>
  </w:num>
  <w:num w:numId="15" w16cid:durableId="4545610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13"/>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19"/>
  </w:num>
  <w:num w:numId="19" w16cid:durableId="1390226946">
    <w:abstractNumId w:val="1"/>
  </w:num>
  <w:num w:numId="20" w16cid:durableId="150102384">
    <w:abstractNumId w:val="3"/>
  </w:num>
  <w:num w:numId="21" w16cid:durableId="1626232092">
    <w:abstractNumId w:val="18"/>
  </w:num>
  <w:num w:numId="22" w16cid:durableId="1434668454">
    <w:abstractNumId w:val="2"/>
  </w:num>
  <w:num w:numId="23" w16cid:durableId="601304037">
    <w:abstractNumId w:val="6"/>
  </w:num>
  <w:num w:numId="24" w16cid:durableId="1169170789">
    <w:abstractNumId w:val="11"/>
  </w:num>
  <w:num w:numId="25" w16cid:durableId="502746966">
    <w:abstractNumId w:val="11"/>
  </w:num>
  <w:num w:numId="26" w16cid:durableId="3304505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0D1B"/>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389"/>
    <w:rsid w:val="000C764F"/>
    <w:rsid w:val="000C7918"/>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6ED7"/>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C50"/>
    <w:rsid w:val="00112100"/>
    <w:rsid w:val="0011220B"/>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A6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63B"/>
    <w:rsid w:val="00582809"/>
    <w:rsid w:val="005829D8"/>
    <w:rsid w:val="00582D73"/>
    <w:rsid w:val="00582EFE"/>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3F3"/>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2E9"/>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A10"/>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1677"/>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8FA"/>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96"/>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524"/>
    <w:rsid w:val="0090491A"/>
    <w:rsid w:val="00904981"/>
    <w:rsid w:val="00904BDF"/>
    <w:rsid w:val="009053AA"/>
    <w:rsid w:val="00905632"/>
    <w:rsid w:val="00905FE9"/>
    <w:rsid w:val="00906007"/>
    <w:rsid w:val="009061DE"/>
    <w:rsid w:val="0090662B"/>
    <w:rsid w:val="009067D2"/>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9E6"/>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B97"/>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EC2"/>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3AE"/>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48"/>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2DD"/>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97795"/>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3F"/>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1FD"/>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F45"/>
    <w:rsid w:val="00D932AE"/>
    <w:rsid w:val="00D9364C"/>
    <w:rsid w:val="00D93A9D"/>
    <w:rsid w:val="00D94690"/>
    <w:rsid w:val="00D95022"/>
    <w:rsid w:val="00D961C7"/>
    <w:rsid w:val="00D96503"/>
    <w:rsid w:val="00D97DD8"/>
    <w:rsid w:val="00D97EE2"/>
    <w:rsid w:val="00DA04C8"/>
    <w:rsid w:val="00DA0521"/>
    <w:rsid w:val="00DA0F5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21063131">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054025">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2387252">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026998">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602961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699742430">
      <w:bodyDiv w:val="1"/>
      <w:marLeft w:val="0"/>
      <w:marRight w:val="0"/>
      <w:marTop w:val="0"/>
      <w:marBottom w:val="0"/>
      <w:divBdr>
        <w:top w:val="none" w:sz="0" w:space="0" w:color="auto"/>
        <w:left w:val="none" w:sz="0" w:space="0" w:color="auto"/>
        <w:bottom w:val="none" w:sz="0" w:space="0" w:color="auto"/>
        <w:right w:val="none" w:sz="0" w:space="0" w:color="auto"/>
      </w:divBdr>
    </w:div>
    <w:div w:id="1721632438">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775987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47287382">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3781</TotalTime>
  <Pages>3</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60</cp:revision>
  <cp:lastPrinted>2016-11-04T09:26:00Z</cp:lastPrinted>
  <dcterms:created xsi:type="dcterms:W3CDTF">2025-03-25T01:05:00Z</dcterms:created>
  <dcterms:modified xsi:type="dcterms:W3CDTF">2025-10-03T03:11:00Z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